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5560" w14:textId="48CE40C7" w:rsidR="0042003E" w:rsidRPr="0042003E" w:rsidRDefault="0042003E" w:rsidP="005347F4">
      <w:pPr>
        <w:jc w:val="both"/>
        <w:rPr>
          <w:rFonts w:ascii="Times New Roman" w:hAnsi="Times New Roman" w:cs="Times New Roman"/>
          <w:b/>
          <w:sz w:val="24"/>
          <w:szCs w:val="24"/>
        </w:rPr>
      </w:pPr>
      <w:r w:rsidRPr="0042003E">
        <w:rPr>
          <w:rFonts w:ascii="Times New Roman" w:hAnsi="Times New Roman" w:cs="Times New Roman"/>
          <w:b/>
          <w:sz w:val="24"/>
          <w:szCs w:val="24"/>
        </w:rPr>
        <w:t>PROCEDURY PRZYZNAWANIA REFUNDACJI KOSZTÓW OPIEKI NAD DZIECKIEM LUB DZIEĆMI DO LAT 7/</w:t>
      </w:r>
      <w:r w:rsidR="005347F4" w:rsidRPr="005347F4">
        <w:rPr>
          <w:rFonts w:ascii="Times New Roman" w:hAnsi="Times New Roman" w:cs="Times New Roman"/>
          <w:b/>
          <w:sz w:val="24"/>
          <w:szCs w:val="24"/>
        </w:rPr>
        <w:t xml:space="preserve">DZIECKIEM NIEPEŁNOSPRAWNYM DO 18 ROKU ŻYCIA/ </w:t>
      </w:r>
      <w:r w:rsidRPr="0042003E">
        <w:rPr>
          <w:rFonts w:ascii="Times New Roman" w:hAnsi="Times New Roman" w:cs="Times New Roman"/>
          <w:b/>
          <w:sz w:val="24"/>
          <w:szCs w:val="24"/>
        </w:rPr>
        <w:t>OSOBĄ ZALEŻNĄ</w:t>
      </w:r>
    </w:p>
    <w:p w14:paraId="74D80506" w14:textId="77777777" w:rsidR="0042003E" w:rsidRPr="0042003E" w:rsidRDefault="0042003E" w:rsidP="0042003E">
      <w:pPr>
        <w:rPr>
          <w:rFonts w:ascii="Times New Roman" w:hAnsi="Times New Roman" w:cs="Times New Roman"/>
          <w:b/>
          <w:sz w:val="24"/>
          <w:szCs w:val="24"/>
        </w:rPr>
      </w:pPr>
    </w:p>
    <w:p w14:paraId="1E45A1C4" w14:textId="77777777" w:rsidR="0042003E" w:rsidRPr="0042003E" w:rsidRDefault="0042003E" w:rsidP="0042003E">
      <w:pPr>
        <w:rPr>
          <w:rFonts w:ascii="Times New Roman" w:hAnsi="Times New Roman" w:cs="Times New Roman"/>
          <w:sz w:val="24"/>
          <w:szCs w:val="24"/>
        </w:rPr>
      </w:pPr>
      <w:r w:rsidRPr="0042003E">
        <w:rPr>
          <w:rFonts w:ascii="Times New Roman" w:hAnsi="Times New Roman" w:cs="Times New Roman"/>
          <w:sz w:val="24"/>
          <w:szCs w:val="24"/>
        </w:rPr>
        <w:t xml:space="preserve">Podstawa prawna: art. 2 pkt 22, art. 146 Ustawy </w:t>
      </w:r>
    </w:p>
    <w:p w14:paraId="705BB1B2" w14:textId="77777777" w:rsidR="0042003E" w:rsidRPr="0042003E" w:rsidRDefault="0042003E" w:rsidP="0042003E">
      <w:pPr>
        <w:rPr>
          <w:rFonts w:ascii="Times New Roman" w:hAnsi="Times New Roman" w:cs="Times New Roman"/>
          <w:b/>
          <w:sz w:val="24"/>
          <w:szCs w:val="24"/>
        </w:rPr>
      </w:pPr>
    </w:p>
    <w:p w14:paraId="08BCDD2C" w14:textId="39D28A3A" w:rsidR="0042003E" w:rsidRPr="0042003E" w:rsidRDefault="0042003E" w:rsidP="00723989">
      <w:pPr>
        <w:numPr>
          <w:ilvl w:val="0"/>
          <w:numId w:val="4"/>
        </w:numPr>
        <w:ind w:left="284"/>
        <w:jc w:val="both"/>
        <w:rPr>
          <w:rFonts w:ascii="Times New Roman" w:hAnsi="Times New Roman" w:cs="Times New Roman"/>
          <w:sz w:val="24"/>
          <w:szCs w:val="24"/>
        </w:rPr>
      </w:pPr>
      <w:r w:rsidRPr="0042003E">
        <w:rPr>
          <w:rFonts w:ascii="Times New Roman" w:hAnsi="Times New Roman" w:cs="Times New Roman"/>
          <w:sz w:val="24"/>
          <w:szCs w:val="24"/>
        </w:rPr>
        <w:t>Starosta może na podstawie umowy, po udokumentowaniu poniesionych kosztów, refundować bezrobotnemu koszty opieki nad dzieckiem do 7. roku życia,</w:t>
      </w:r>
      <w:r w:rsidR="00723989">
        <w:rPr>
          <w:rFonts w:ascii="Times New Roman" w:hAnsi="Times New Roman" w:cs="Times New Roman"/>
          <w:sz w:val="24"/>
          <w:szCs w:val="24"/>
        </w:rPr>
        <w:t xml:space="preserve"> </w:t>
      </w:r>
      <w:r w:rsidRPr="0042003E">
        <w:rPr>
          <w:rFonts w:ascii="Times New Roman" w:hAnsi="Times New Roman" w:cs="Times New Roman"/>
          <w:sz w:val="24"/>
          <w:szCs w:val="24"/>
        </w:rPr>
        <w:t xml:space="preserve">a w przypadku dziecka niepełnosprawnego do 18. roku życia, w wysokości określonej w tej umowie, nie wyższej jednak niż połowa podstawowej kwoty zasiłku, na każde dziecko, na opiekę którego poniesiono koszty, jeżeli bezrobotny podejmie zatrudnienie, inną pracę zarobkową lub zostanie skierowany do innej formy pomocy, oraz pod warunkiem osiągania z tego tytułu miesięcznie przychodów nieprzekraczających minimalnego wynagrodzenia za pracę. </w:t>
      </w:r>
    </w:p>
    <w:p w14:paraId="507D9CDA" w14:textId="77777777" w:rsidR="0042003E" w:rsidRPr="0042003E" w:rsidRDefault="0042003E" w:rsidP="00723989">
      <w:pPr>
        <w:numPr>
          <w:ilvl w:val="0"/>
          <w:numId w:val="4"/>
        </w:numPr>
        <w:ind w:left="284"/>
        <w:jc w:val="both"/>
        <w:rPr>
          <w:rFonts w:ascii="Times New Roman" w:hAnsi="Times New Roman" w:cs="Times New Roman"/>
          <w:sz w:val="24"/>
          <w:szCs w:val="24"/>
        </w:rPr>
      </w:pPr>
      <w:r w:rsidRPr="0042003E">
        <w:rPr>
          <w:rFonts w:ascii="Times New Roman" w:hAnsi="Times New Roman" w:cs="Times New Roman"/>
          <w:sz w:val="24"/>
          <w:szCs w:val="24"/>
        </w:rPr>
        <w:t>Refundacja kosztów przysługuje osobie wymienionej w pkt 1 po udokumentowaniu poniesienia tych kosztów.</w:t>
      </w:r>
    </w:p>
    <w:p w14:paraId="7DF7360D" w14:textId="77777777" w:rsidR="0042003E" w:rsidRPr="0042003E" w:rsidRDefault="0042003E" w:rsidP="00723989">
      <w:pPr>
        <w:numPr>
          <w:ilvl w:val="0"/>
          <w:numId w:val="4"/>
        </w:numPr>
        <w:ind w:left="284"/>
        <w:jc w:val="both"/>
        <w:rPr>
          <w:rFonts w:ascii="Times New Roman" w:hAnsi="Times New Roman" w:cs="Times New Roman"/>
          <w:sz w:val="24"/>
          <w:szCs w:val="24"/>
        </w:rPr>
      </w:pPr>
      <w:r w:rsidRPr="0042003E">
        <w:rPr>
          <w:rFonts w:ascii="Times New Roman" w:hAnsi="Times New Roman" w:cs="Times New Roman"/>
          <w:sz w:val="24"/>
          <w:szCs w:val="24"/>
        </w:rPr>
        <w:t xml:space="preserve">Refundacji poniesionych kosztów opieki nad dzieckiem do 7. roku życia/dzieckiem niepełnosprawnym do 18. roku życia dokonuje się na wniosek osoby uprawnionej na okres: </w:t>
      </w:r>
    </w:p>
    <w:p w14:paraId="0FE18F48" w14:textId="77777777" w:rsidR="0042003E" w:rsidRPr="0042003E" w:rsidRDefault="0042003E" w:rsidP="00723989">
      <w:pPr>
        <w:numPr>
          <w:ilvl w:val="0"/>
          <w:numId w:val="5"/>
        </w:numPr>
        <w:ind w:left="284"/>
        <w:jc w:val="both"/>
        <w:rPr>
          <w:rFonts w:ascii="Times New Roman" w:hAnsi="Times New Roman" w:cs="Times New Roman"/>
          <w:sz w:val="24"/>
          <w:szCs w:val="24"/>
        </w:rPr>
      </w:pPr>
      <w:r w:rsidRPr="0042003E">
        <w:rPr>
          <w:rFonts w:ascii="Times New Roman" w:hAnsi="Times New Roman" w:cs="Times New Roman"/>
          <w:sz w:val="24"/>
          <w:szCs w:val="24"/>
        </w:rPr>
        <w:t xml:space="preserve">do 6 miesięcy, jeżeli bezrobotny podjął zatrudnienie lub inną pracą zarobkową; </w:t>
      </w:r>
    </w:p>
    <w:p w14:paraId="5B4268B0" w14:textId="77777777" w:rsidR="0042003E" w:rsidRPr="0042003E" w:rsidRDefault="0042003E" w:rsidP="00723989">
      <w:pPr>
        <w:numPr>
          <w:ilvl w:val="0"/>
          <w:numId w:val="5"/>
        </w:numPr>
        <w:ind w:left="284"/>
        <w:jc w:val="both"/>
        <w:rPr>
          <w:rFonts w:ascii="Times New Roman" w:hAnsi="Times New Roman" w:cs="Times New Roman"/>
          <w:sz w:val="24"/>
          <w:szCs w:val="24"/>
        </w:rPr>
      </w:pPr>
      <w:r w:rsidRPr="0042003E">
        <w:rPr>
          <w:rFonts w:ascii="Times New Roman" w:hAnsi="Times New Roman" w:cs="Times New Roman"/>
          <w:sz w:val="24"/>
          <w:szCs w:val="24"/>
        </w:rPr>
        <w:t>odbywania innej formy pomocy, w przypadku skierowania bezrobotnego do innej formy pomocy.</w:t>
      </w:r>
    </w:p>
    <w:p w14:paraId="1DB7163C" w14:textId="77777777" w:rsidR="0042003E" w:rsidRPr="0042003E" w:rsidRDefault="0042003E" w:rsidP="00723989">
      <w:pPr>
        <w:numPr>
          <w:ilvl w:val="0"/>
          <w:numId w:val="4"/>
        </w:numPr>
        <w:ind w:left="284"/>
        <w:jc w:val="both"/>
        <w:rPr>
          <w:rFonts w:ascii="Times New Roman" w:hAnsi="Times New Roman" w:cs="Times New Roman"/>
          <w:sz w:val="24"/>
          <w:szCs w:val="24"/>
        </w:rPr>
      </w:pPr>
      <w:r w:rsidRPr="0042003E">
        <w:rPr>
          <w:rFonts w:ascii="Times New Roman" w:hAnsi="Times New Roman" w:cs="Times New Roman"/>
          <w:sz w:val="24"/>
          <w:szCs w:val="24"/>
        </w:rPr>
        <w:t>Na wniosek osoby, o której mowa w pkt 1, starosta może wypłacić zaliczkę na refundację kosztów opieki nad dzieckiem.</w:t>
      </w:r>
    </w:p>
    <w:p w14:paraId="13DCBDA9" w14:textId="77777777" w:rsidR="0042003E" w:rsidRPr="0042003E" w:rsidRDefault="0042003E" w:rsidP="00723989">
      <w:pPr>
        <w:numPr>
          <w:ilvl w:val="0"/>
          <w:numId w:val="4"/>
        </w:numPr>
        <w:ind w:left="284"/>
        <w:jc w:val="both"/>
        <w:rPr>
          <w:rFonts w:ascii="Times New Roman" w:hAnsi="Times New Roman" w:cs="Times New Roman"/>
          <w:sz w:val="24"/>
          <w:szCs w:val="24"/>
        </w:rPr>
      </w:pPr>
      <w:r w:rsidRPr="0042003E">
        <w:rPr>
          <w:rFonts w:ascii="Times New Roman" w:hAnsi="Times New Roman" w:cs="Times New Roman"/>
          <w:sz w:val="24"/>
          <w:szCs w:val="24"/>
        </w:rPr>
        <w:t>Wniosek o refundację poniesionych kosztów opieki nad dzieckiem do 7. roku życia/dzieckiem niepełnosprawnym do 18. roku życia stanowi załącznik nr 7 do niniejszych procedur.</w:t>
      </w:r>
    </w:p>
    <w:p w14:paraId="1664C946" w14:textId="77777777" w:rsidR="0042003E" w:rsidRPr="0042003E" w:rsidRDefault="0042003E" w:rsidP="00723989">
      <w:pPr>
        <w:numPr>
          <w:ilvl w:val="0"/>
          <w:numId w:val="4"/>
        </w:numPr>
        <w:ind w:left="284"/>
        <w:jc w:val="both"/>
        <w:rPr>
          <w:rFonts w:ascii="Times New Roman" w:hAnsi="Times New Roman" w:cs="Times New Roman"/>
          <w:sz w:val="24"/>
          <w:szCs w:val="24"/>
        </w:rPr>
      </w:pPr>
      <w:r w:rsidRPr="0042003E">
        <w:rPr>
          <w:rFonts w:ascii="Times New Roman" w:hAnsi="Times New Roman" w:cs="Times New Roman"/>
          <w:sz w:val="24"/>
          <w:szCs w:val="24"/>
        </w:rPr>
        <w:t xml:space="preserve">Wniosek rozliczeniowy, stanowiący załącznik nr 8 do niniejszych procedur, należy składać do dnia 5 każdego następnego miesiąca, za który przysługuje refundacja. </w:t>
      </w:r>
    </w:p>
    <w:p w14:paraId="338A43D8" w14:textId="77777777" w:rsidR="0042003E" w:rsidRPr="0042003E" w:rsidRDefault="0042003E" w:rsidP="00723989">
      <w:pPr>
        <w:numPr>
          <w:ilvl w:val="0"/>
          <w:numId w:val="4"/>
        </w:numPr>
        <w:ind w:left="284"/>
        <w:jc w:val="both"/>
        <w:rPr>
          <w:rFonts w:ascii="Times New Roman" w:hAnsi="Times New Roman" w:cs="Times New Roman"/>
          <w:sz w:val="24"/>
          <w:szCs w:val="24"/>
        </w:rPr>
      </w:pPr>
      <w:r w:rsidRPr="0042003E">
        <w:rPr>
          <w:rFonts w:ascii="Times New Roman" w:hAnsi="Times New Roman" w:cs="Times New Roman"/>
          <w:sz w:val="24"/>
          <w:szCs w:val="24"/>
        </w:rPr>
        <w:t xml:space="preserve">Do wniosku o refundację poniesionych kosztów opieki nad dzieckiem do 7. roku życia/dzieckiem niepełnosprawnym do 18. roku życia załącza się: </w:t>
      </w:r>
    </w:p>
    <w:p w14:paraId="5A597EE6" w14:textId="77777777" w:rsidR="0042003E" w:rsidRDefault="0042003E" w:rsidP="00723989">
      <w:pPr>
        <w:numPr>
          <w:ilvl w:val="0"/>
          <w:numId w:val="3"/>
        </w:numPr>
        <w:ind w:left="284"/>
        <w:jc w:val="both"/>
        <w:rPr>
          <w:rFonts w:ascii="Times New Roman" w:hAnsi="Times New Roman" w:cs="Times New Roman"/>
          <w:sz w:val="24"/>
          <w:szCs w:val="24"/>
        </w:rPr>
      </w:pPr>
      <w:r w:rsidRPr="0042003E">
        <w:rPr>
          <w:rFonts w:ascii="Times New Roman" w:hAnsi="Times New Roman" w:cs="Times New Roman"/>
          <w:sz w:val="24"/>
          <w:szCs w:val="24"/>
        </w:rPr>
        <w:t>akt urodzenia dziecka lub dzieci;</w:t>
      </w:r>
    </w:p>
    <w:p w14:paraId="2C3662DA" w14:textId="4EE9D9FC" w:rsidR="0009324E" w:rsidRPr="0009324E" w:rsidRDefault="0009324E" w:rsidP="0009324E">
      <w:pPr>
        <w:numPr>
          <w:ilvl w:val="0"/>
          <w:numId w:val="3"/>
        </w:numPr>
        <w:ind w:left="284"/>
        <w:jc w:val="both"/>
        <w:rPr>
          <w:rFonts w:ascii="Times New Roman" w:hAnsi="Times New Roman" w:cs="Times New Roman"/>
          <w:sz w:val="24"/>
          <w:szCs w:val="24"/>
        </w:rPr>
      </w:pPr>
      <w:r w:rsidRPr="0009324E">
        <w:rPr>
          <w:rFonts w:ascii="Times New Roman" w:hAnsi="Times New Roman" w:cs="Times New Roman"/>
          <w:sz w:val="24"/>
          <w:szCs w:val="24"/>
        </w:rPr>
        <w:t>w przypadku dziecka niepełnosprawnego do 18. roku życia orzeczenie Powiatowego Zespołu Ds. Orzekania o Niepełnosprawności o stopniu niepełnosprawności;</w:t>
      </w:r>
    </w:p>
    <w:p w14:paraId="366617B2" w14:textId="77777777" w:rsidR="0042003E" w:rsidRPr="0042003E" w:rsidRDefault="0042003E" w:rsidP="00723989">
      <w:pPr>
        <w:numPr>
          <w:ilvl w:val="0"/>
          <w:numId w:val="3"/>
        </w:numPr>
        <w:ind w:left="284"/>
        <w:jc w:val="both"/>
        <w:rPr>
          <w:rFonts w:ascii="Times New Roman" w:hAnsi="Times New Roman" w:cs="Times New Roman"/>
          <w:sz w:val="24"/>
          <w:szCs w:val="24"/>
        </w:rPr>
      </w:pPr>
      <w:r w:rsidRPr="0042003E">
        <w:rPr>
          <w:rFonts w:ascii="Times New Roman" w:hAnsi="Times New Roman" w:cs="Times New Roman"/>
          <w:sz w:val="24"/>
          <w:szCs w:val="24"/>
        </w:rPr>
        <w:t>zaświadczenie o uzyskanych przychodach wnioskodawcy za miesiąc, w którym wniosek jest składany (w przypadku wnioskodawcy skierowanego przez Urząd do odbywania innej formy pomocy zaświadczenie nie jest wymagane);</w:t>
      </w:r>
    </w:p>
    <w:p w14:paraId="05A7CEDA" w14:textId="77777777" w:rsidR="0042003E" w:rsidRPr="0042003E" w:rsidRDefault="0042003E" w:rsidP="00723989">
      <w:pPr>
        <w:numPr>
          <w:ilvl w:val="0"/>
          <w:numId w:val="3"/>
        </w:numPr>
        <w:ind w:left="284"/>
        <w:jc w:val="both"/>
        <w:rPr>
          <w:rFonts w:ascii="Times New Roman" w:hAnsi="Times New Roman" w:cs="Times New Roman"/>
          <w:sz w:val="24"/>
          <w:szCs w:val="24"/>
        </w:rPr>
      </w:pPr>
      <w:r w:rsidRPr="0042003E">
        <w:rPr>
          <w:rFonts w:ascii="Times New Roman" w:hAnsi="Times New Roman" w:cs="Times New Roman"/>
          <w:sz w:val="24"/>
          <w:szCs w:val="24"/>
        </w:rPr>
        <w:t>dokument potwierdzający zatrudnienie wnioskodawcy, tj. umowa o pracę lub inny dokument potwierdzający zatrudnienie, o którym mowa w art. 29 § 2 ustawy z dnia 26 czerwca 1974 r. – Kodeks pracy, umowa potwierdzająca podjęcie innej pracy zarobkowej;</w:t>
      </w:r>
    </w:p>
    <w:p w14:paraId="11B723BE" w14:textId="77777777" w:rsidR="0042003E" w:rsidRPr="0042003E" w:rsidRDefault="0042003E" w:rsidP="00723989">
      <w:pPr>
        <w:numPr>
          <w:ilvl w:val="0"/>
          <w:numId w:val="3"/>
        </w:numPr>
        <w:ind w:left="284"/>
        <w:jc w:val="both"/>
        <w:rPr>
          <w:rFonts w:ascii="Times New Roman" w:hAnsi="Times New Roman" w:cs="Times New Roman"/>
          <w:sz w:val="24"/>
          <w:szCs w:val="24"/>
        </w:rPr>
      </w:pPr>
      <w:r w:rsidRPr="0042003E">
        <w:rPr>
          <w:rFonts w:ascii="Times New Roman" w:hAnsi="Times New Roman" w:cs="Times New Roman"/>
          <w:sz w:val="24"/>
          <w:szCs w:val="24"/>
        </w:rPr>
        <w:lastRenderedPageBreak/>
        <w:t>rachunek lub faktura potwierdzające ponoszone koszty opieki, lub inny dokument potwierdzający ponoszone koszty;</w:t>
      </w:r>
    </w:p>
    <w:p w14:paraId="39E2D962" w14:textId="77777777" w:rsidR="0042003E" w:rsidRPr="0042003E" w:rsidRDefault="0042003E" w:rsidP="00723989">
      <w:pPr>
        <w:numPr>
          <w:ilvl w:val="0"/>
          <w:numId w:val="3"/>
        </w:numPr>
        <w:ind w:left="284"/>
        <w:jc w:val="both"/>
        <w:rPr>
          <w:rFonts w:ascii="Times New Roman" w:hAnsi="Times New Roman" w:cs="Times New Roman"/>
          <w:sz w:val="24"/>
          <w:szCs w:val="24"/>
        </w:rPr>
      </w:pPr>
      <w:r w:rsidRPr="0042003E">
        <w:rPr>
          <w:rFonts w:ascii="Times New Roman" w:hAnsi="Times New Roman" w:cs="Times New Roman"/>
          <w:sz w:val="24"/>
          <w:szCs w:val="24"/>
        </w:rPr>
        <w:t>umowa cywilno – prawna zawarta przez wnioskodawcę z opiekunką;</w:t>
      </w:r>
    </w:p>
    <w:p w14:paraId="4EBA68A1" w14:textId="634AC1AA" w:rsidR="0042003E" w:rsidRPr="0042003E" w:rsidRDefault="0042003E" w:rsidP="003117DB">
      <w:pPr>
        <w:jc w:val="both"/>
        <w:rPr>
          <w:rFonts w:ascii="Times New Roman" w:hAnsi="Times New Roman" w:cs="Times New Roman"/>
          <w:sz w:val="24"/>
          <w:szCs w:val="24"/>
        </w:rPr>
      </w:pPr>
      <w:r w:rsidRPr="0042003E">
        <w:rPr>
          <w:rFonts w:ascii="Times New Roman" w:hAnsi="Times New Roman" w:cs="Times New Roman"/>
          <w:sz w:val="24"/>
          <w:szCs w:val="24"/>
        </w:rPr>
        <w:t>W  przypadku osoby zależnej oprócz dokumentów wymienionych w ppkt. b - e należy dostarczyć decyzję ZUS o uznaniu za osobę niezdolną do samodzielnej egzystencji lub orzeczenie Powiatowego Zespołu Ds. Orzekania</w:t>
      </w:r>
      <w:r w:rsidR="00723989">
        <w:rPr>
          <w:rFonts w:ascii="Times New Roman" w:hAnsi="Times New Roman" w:cs="Times New Roman"/>
          <w:sz w:val="24"/>
          <w:szCs w:val="24"/>
        </w:rPr>
        <w:t xml:space="preserve"> </w:t>
      </w:r>
      <w:r w:rsidRPr="0042003E">
        <w:rPr>
          <w:rFonts w:ascii="Times New Roman" w:hAnsi="Times New Roman" w:cs="Times New Roman"/>
          <w:sz w:val="24"/>
          <w:szCs w:val="24"/>
        </w:rPr>
        <w:t>o Niepełnosprawności o znacznym stopniu niepełnosprawności oraz oświadczenie o więzach rodzinnych lub powinowactwie lub pozostawaniu we wspólnym gospodarstwie domowym z osobą zależną.</w:t>
      </w:r>
    </w:p>
    <w:p w14:paraId="604CD522" w14:textId="77777777" w:rsidR="0042003E" w:rsidRPr="0042003E" w:rsidRDefault="0042003E" w:rsidP="00723989">
      <w:pPr>
        <w:numPr>
          <w:ilvl w:val="0"/>
          <w:numId w:val="4"/>
        </w:numPr>
        <w:ind w:left="284"/>
        <w:jc w:val="both"/>
        <w:rPr>
          <w:rFonts w:ascii="Times New Roman" w:hAnsi="Times New Roman" w:cs="Times New Roman"/>
          <w:sz w:val="24"/>
          <w:szCs w:val="24"/>
        </w:rPr>
      </w:pPr>
      <w:r w:rsidRPr="0042003E">
        <w:rPr>
          <w:rFonts w:ascii="Times New Roman" w:hAnsi="Times New Roman" w:cs="Times New Roman"/>
          <w:sz w:val="24"/>
          <w:szCs w:val="24"/>
        </w:rPr>
        <w:t xml:space="preserve">Wniosek można uzyskać w siedzibie Urzędu oraz pobrać ze strony internetowej Urzędu (www.pup.kalisz.pl). </w:t>
      </w:r>
    </w:p>
    <w:p w14:paraId="7E9961B9" w14:textId="77777777" w:rsidR="0042003E" w:rsidRPr="0042003E" w:rsidRDefault="0042003E" w:rsidP="00723989">
      <w:pPr>
        <w:numPr>
          <w:ilvl w:val="0"/>
          <w:numId w:val="4"/>
        </w:numPr>
        <w:ind w:left="284"/>
        <w:jc w:val="both"/>
        <w:rPr>
          <w:rFonts w:ascii="Times New Roman" w:hAnsi="Times New Roman" w:cs="Times New Roman"/>
          <w:sz w:val="24"/>
          <w:szCs w:val="24"/>
        </w:rPr>
      </w:pPr>
      <w:r w:rsidRPr="0042003E">
        <w:rPr>
          <w:rFonts w:ascii="Times New Roman" w:hAnsi="Times New Roman" w:cs="Times New Roman"/>
          <w:sz w:val="24"/>
          <w:szCs w:val="24"/>
        </w:rPr>
        <w:t>Wnioski wraz z kompletem dokumentów składa się w Kancelarii Powiatowego Urzędu Pracy w Kaliszu w godz. 7:30 - 15:30.</w:t>
      </w:r>
    </w:p>
    <w:p w14:paraId="5D46F762" w14:textId="77777777" w:rsidR="0042003E" w:rsidRPr="0042003E" w:rsidRDefault="0042003E" w:rsidP="00723989">
      <w:pPr>
        <w:numPr>
          <w:ilvl w:val="0"/>
          <w:numId w:val="4"/>
        </w:numPr>
        <w:ind w:left="284"/>
        <w:jc w:val="both"/>
        <w:rPr>
          <w:rFonts w:ascii="Times New Roman" w:hAnsi="Times New Roman" w:cs="Times New Roman"/>
          <w:sz w:val="24"/>
          <w:szCs w:val="24"/>
        </w:rPr>
      </w:pPr>
      <w:r w:rsidRPr="0042003E">
        <w:rPr>
          <w:rFonts w:ascii="Times New Roman" w:hAnsi="Times New Roman" w:cs="Times New Roman"/>
          <w:sz w:val="24"/>
          <w:szCs w:val="24"/>
        </w:rPr>
        <w:t xml:space="preserve"> Refundacja przysługuje od miesiąca, w którym złożono wniosek wraz                             kompletem wymaganych załączników.</w:t>
      </w:r>
    </w:p>
    <w:p w14:paraId="068D4A24" w14:textId="77777777" w:rsidR="0042003E" w:rsidRPr="0042003E" w:rsidRDefault="0042003E" w:rsidP="00723989">
      <w:pPr>
        <w:numPr>
          <w:ilvl w:val="0"/>
          <w:numId w:val="4"/>
        </w:numPr>
        <w:ind w:left="284"/>
        <w:jc w:val="both"/>
        <w:rPr>
          <w:rFonts w:ascii="Times New Roman" w:hAnsi="Times New Roman" w:cs="Times New Roman"/>
          <w:sz w:val="24"/>
          <w:szCs w:val="24"/>
        </w:rPr>
      </w:pPr>
      <w:r w:rsidRPr="0042003E">
        <w:rPr>
          <w:rFonts w:ascii="Times New Roman" w:hAnsi="Times New Roman" w:cs="Times New Roman"/>
          <w:sz w:val="24"/>
          <w:szCs w:val="24"/>
        </w:rPr>
        <w:t xml:space="preserve"> Refundacja dokonywana jest w okresach miesięcznych na rachunek płatniczy wskazany przez wnioskodawcę.</w:t>
      </w:r>
    </w:p>
    <w:p w14:paraId="7561EAE4" w14:textId="77777777" w:rsidR="0042003E" w:rsidRPr="0042003E" w:rsidRDefault="0042003E" w:rsidP="00723989">
      <w:pPr>
        <w:numPr>
          <w:ilvl w:val="0"/>
          <w:numId w:val="4"/>
        </w:numPr>
        <w:ind w:left="284"/>
        <w:jc w:val="both"/>
        <w:rPr>
          <w:rFonts w:ascii="Times New Roman" w:hAnsi="Times New Roman" w:cs="Times New Roman"/>
          <w:sz w:val="24"/>
          <w:szCs w:val="24"/>
        </w:rPr>
      </w:pPr>
      <w:r w:rsidRPr="0042003E">
        <w:rPr>
          <w:rFonts w:ascii="Times New Roman" w:hAnsi="Times New Roman" w:cs="Times New Roman"/>
          <w:sz w:val="24"/>
          <w:szCs w:val="24"/>
        </w:rPr>
        <w:t xml:space="preserve"> Kwotę refundacji za niepełny miesiąc ustala się na podstawie dokumentu potwierdzającego poniesione koszty za okres, za który świadczenie przysługuje. </w:t>
      </w:r>
    </w:p>
    <w:p w14:paraId="487D2649" w14:textId="77777777" w:rsidR="0042003E" w:rsidRPr="0042003E" w:rsidRDefault="0042003E" w:rsidP="00723989">
      <w:pPr>
        <w:numPr>
          <w:ilvl w:val="0"/>
          <w:numId w:val="4"/>
        </w:numPr>
        <w:ind w:left="284"/>
        <w:jc w:val="both"/>
        <w:rPr>
          <w:rFonts w:ascii="Times New Roman" w:hAnsi="Times New Roman" w:cs="Times New Roman"/>
          <w:sz w:val="24"/>
          <w:szCs w:val="24"/>
        </w:rPr>
      </w:pPr>
      <w:r w:rsidRPr="0042003E">
        <w:rPr>
          <w:rFonts w:ascii="Times New Roman" w:hAnsi="Times New Roman" w:cs="Times New Roman"/>
          <w:sz w:val="24"/>
          <w:szCs w:val="24"/>
        </w:rPr>
        <w:t xml:space="preserve"> Na zasadach określonych w pkt 1 - 12 może nastąpić refundacja kosztów opieki nad osobą zależną. </w:t>
      </w:r>
    </w:p>
    <w:p w14:paraId="0432A94C" w14:textId="77777777" w:rsidR="0042003E" w:rsidRPr="0042003E" w:rsidRDefault="0042003E" w:rsidP="00723989">
      <w:pPr>
        <w:ind w:left="284"/>
        <w:jc w:val="both"/>
        <w:rPr>
          <w:rFonts w:ascii="Times New Roman" w:hAnsi="Times New Roman" w:cs="Times New Roman"/>
          <w:sz w:val="24"/>
          <w:szCs w:val="24"/>
        </w:rPr>
      </w:pPr>
    </w:p>
    <w:p w14:paraId="269575DE" w14:textId="5FE3BEF1" w:rsidR="0042003E" w:rsidRPr="0042003E" w:rsidRDefault="0042003E" w:rsidP="00723989">
      <w:pPr>
        <w:jc w:val="both"/>
        <w:rPr>
          <w:rFonts w:ascii="Times New Roman" w:hAnsi="Times New Roman" w:cs="Times New Roman"/>
          <w:sz w:val="24"/>
          <w:szCs w:val="24"/>
        </w:rPr>
      </w:pPr>
      <w:r w:rsidRPr="0042003E">
        <w:rPr>
          <w:rFonts w:ascii="Times New Roman" w:hAnsi="Times New Roman" w:cs="Times New Roman"/>
          <w:sz w:val="24"/>
          <w:szCs w:val="24"/>
        </w:rPr>
        <w:t>Za osobę zależną zgodnie z Ustawą, uznaje się osobę wymagającą ze względu na stan zdrowia lub wiek stałej opieki, połączoną więzami rodzinnymi lub powinowactwem</w:t>
      </w:r>
      <w:r w:rsidR="00BA1BAD">
        <w:rPr>
          <w:rFonts w:ascii="Times New Roman" w:hAnsi="Times New Roman" w:cs="Times New Roman"/>
          <w:sz w:val="24"/>
          <w:szCs w:val="24"/>
        </w:rPr>
        <w:t xml:space="preserve"> </w:t>
      </w:r>
      <w:r w:rsidRPr="0042003E">
        <w:rPr>
          <w:rFonts w:ascii="Times New Roman" w:hAnsi="Times New Roman" w:cs="Times New Roman"/>
          <w:sz w:val="24"/>
          <w:szCs w:val="24"/>
        </w:rPr>
        <w:t>z osobą objętą formą pomocy określoną w ustawie, lub pozostającą z nią we wspólnym gospodarstwie domowym.</w:t>
      </w:r>
    </w:p>
    <w:p w14:paraId="634BC621" w14:textId="77777777" w:rsidR="00481736" w:rsidRPr="0042003E" w:rsidRDefault="00481736" w:rsidP="00723989">
      <w:pPr>
        <w:jc w:val="both"/>
        <w:rPr>
          <w:rFonts w:ascii="Times New Roman" w:hAnsi="Times New Roman" w:cs="Times New Roman"/>
          <w:sz w:val="24"/>
          <w:szCs w:val="24"/>
        </w:rPr>
      </w:pPr>
    </w:p>
    <w:sectPr w:rsidR="00481736" w:rsidRPr="00420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F6DBE"/>
    <w:multiLevelType w:val="hybridMultilevel"/>
    <w:tmpl w:val="5DC23F04"/>
    <w:lvl w:ilvl="0" w:tplc="14D0EA1E">
      <w:numFmt w:val="decimal"/>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7050AB5"/>
    <w:multiLevelType w:val="hybridMultilevel"/>
    <w:tmpl w:val="13CE2AD6"/>
    <w:lvl w:ilvl="0" w:tplc="0415000F">
      <w:start w:val="1"/>
      <w:numFmt w:val="decimal"/>
      <w:lvlText w:val="%1."/>
      <w:lvlJc w:val="left"/>
      <w:pPr>
        <w:ind w:left="720" w:hanging="360"/>
      </w:pPr>
    </w:lvl>
    <w:lvl w:ilvl="1" w:tplc="56C07118">
      <w:numFmt w:val="decimal"/>
      <w:lvlText w:val=""/>
      <w:lvlJc w:val="left"/>
      <w:pPr>
        <w:tabs>
          <w:tab w:val="num" w:pos="910"/>
        </w:tabs>
        <w:ind w:left="1364" w:hanging="284"/>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B4058C8"/>
    <w:multiLevelType w:val="hybridMultilevel"/>
    <w:tmpl w:val="976EF086"/>
    <w:lvl w:ilvl="0" w:tplc="04150017">
      <w:start w:val="1"/>
      <w:numFmt w:val="lowerLetter"/>
      <w:lvlText w:val="%1)"/>
      <w:lvlJc w:val="left"/>
      <w:pPr>
        <w:tabs>
          <w:tab w:val="num" w:pos="624"/>
        </w:tabs>
        <w:ind w:left="624" w:hanging="264"/>
      </w:pPr>
    </w:lvl>
    <w:lvl w:ilvl="1" w:tplc="ED8A50D2">
      <w:start w:val="16"/>
      <w:numFmt w:val="decimal"/>
      <w:lvlText w:val="%2."/>
      <w:lvlJc w:val="left"/>
      <w:pPr>
        <w:tabs>
          <w:tab w:val="num" w:pos="1364"/>
        </w:tabs>
        <w:ind w:left="1477" w:hanging="397"/>
      </w:p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7452B0"/>
    <w:multiLevelType w:val="hybridMultilevel"/>
    <w:tmpl w:val="5DC23F04"/>
    <w:lvl w:ilvl="0" w:tplc="14D0EA1E">
      <w:numFmt w:val="decimal"/>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AFE37F0"/>
    <w:multiLevelType w:val="hybridMultilevel"/>
    <w:tmpl w:val="13CE2AD6"/>
    <w:lvl w:ilvl="0" w:tplc="0415000F">
      <w:start w:val="1"/>
      <w:numFmt w:val="decimal"/>
      <w:lvlText w:val="%1."/>
      <w:lvlJc w:val="left"/>
      <w:pPr>
        <w:ind w:left="720" w:hanging="360"/>
      </w:pPr>
    </w:lvl>
    <w:lvl w:ilvl="1" w:tplc="56C07118">
      <w:numFmt w:val="decimal"/>
      <w:lvlText w:val=""/>
      <w:lvlJc w:val="left"/>
      <w:pPr>
        <w:tabs>
          <w:tab w:val="num" w:pos="910"/>
        </w:tabs>
        <w:ind w:left="1364" w:hanging="284"/>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16166495">
    <w:abstractNumId w:val="1"/>
  </w:num>
  <w:num w:numId="2" w16cid:durableId="679238451">
    <w:abstractNumId w:val="3"/>
  </w:num>
  <w:num w:numId="3" w16cid:durableId="1910725081">
    <w:abstractNumId w:val="2"/>
    <w:lvlOverride w:ilvl="0">
      <w:startOverride w:val="1"/>
    </w:lvlOverride>
    <w:lvlOverride w:ilvl="1">
      <w:startOverride w:val="16"/>
    </w:lvlOverride>
    <w:lvlOverride w:ilvl="2"/>
    <w:lvlOverride w:ilvl="3"/>
    <w:lvlOverride w:ilvl="4"/>
    <w:lvlOverride w:ilvl="5"/>
    <w:lvlOverride w:ilvl="6"/>
    <w:lvlOverride w:ilvl="7"/>
    <w:lvlOverride w:ilvl="8"/>
  </w:num>
  <w:num w:numId="4" w16cid:durableId="80026804">
    <w:abstractNumId w:val="4"/>
  </w:num>
  <w:num w:numId="5" w16cid:durableId="79447046">
    <w:abstractNumId w:val="0"/>
  </w:num>
  <w:num w:numId="6" w16cid:durableId="151605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70"/>
    <w:rsid w:val="0009324E"/>
    <w:rsid w:val="003117DB"/>
    <w:rsid w:val="003341DB"/>
    <w:rsid w:val="00393B55"/>
    <w:rsid w:val="0042003E"/>
    <w:rsid w:val="00481736"/>
    <w:rsid w:val="004B226F"/>
    <w:rsid w:val="005347F4"/>
    <w:rsid w:val="00723989"/>
    <w:rsid w:val="00727667"/>
    <w:rsid w:val="00735A8A"/>
    <w:rsid w:val="00963E51"/>
    <w:rsid w:val="00970B47"/>
    <w:rsid w:val="00970F22"/>
    <w:rsid w:val="0098226E"/>
    <w:rsid w:val="00A30312"/>
    <w:rsid w:val="00A61C80"/>
    <w:rsid w:val="00B93ACB"/>
    <w:rsid w:val="00BA1BAD"/>
    <w:rsid w:val="00DD2E46"/>
    <w:rsid w:val="00F43469"/>
    <w:rsid w:val="00FB3A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E12F"/>
  <w15:chartTrackingRefBased/>
  <w15:docId w15:val="{E19F0918-9983-4C23-BC2C-E2FE435B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B3A7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FB3A7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FB3A70"/>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FB3A70"/>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FB3A70"/>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FB3A7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B3A7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B3A7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B3A7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B3A70"/>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FB3A70"/>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FB3A70"/>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FB3A70"/>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FB3A70"/>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FB3A7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B3A7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B3A7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B3A70"/>
    <w:rPr>
      <w:rFonts w:eastAsiaTheme="majorEastAsia" w:cstheme="majorBidi"/>
      <w:color w:val="272727" w:themeColor="text1" w:themeTint="D8"/>
    </w:rPr>
  </w:style>
  <w:style w:type="paragraph" w:styleId="Tytu">
    <w:name w:val="Title"/>
    <w:basedOn w:val="Normalny"/>
    <w:next w:val="Normalny"/>
    <w:link w:val="TytuZnak"/>
    <w:uiPriority w:val="10"/>
    <w:qFormat/>
    <w:rsid w:val="00FB3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B3A7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B3A7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B3A7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B3A70"/>
    <w:pPr>
      <w:spacing w:before="160"/>
      <w:jc w:val="center"/>
    </w:pPr>
    <w:rPr>
      <w:i/>
      <w:iCs/>
      <w:color w:val="404040" w:themeColor="text1" w:themeTint="BF"/>
    </w:rPr>
  </w:style>
  <w:style w:type="character" w:customStyle="1" w:styleId="CytatZnak">
    <w:name w:val="Cytat Znak"/>
    <w:basedOn w:val="Domylnaczcionkaakapitu"/>
    <w:link w:val="Cytat"/>
    <w:uiPriority w:val="29"/>
    <w:rsid w:val="00FB3A70"/>
    <w:rPr>
      <w:i/>
      <w:iCs/>
      <w:color w:val="404040" w:themeColor="text1" w:themeTint="BF"/>
    </w:rPr>
  </w:style>
  <w:style w:type="paragraph" w:styleId="Akapitzlist">
    <w:name w:val="List Paragraph"/>
    <w:basedOn w:val="Normalny"/>
    <w:uiPriority w:val="34"/>
    <w:qFormat/>
    <w:rsid w:val="00FB3A70"/>
    <w:pPr>
      <w:ind w:left="720"/>
      <w:contextualSpacing/>
    </w:pPr>
  </w:style>
  <w:style w:type="character" w:styleId="Wyrnienieintensywne">
    <w:name w:val="Intense Emphasis"/>
    <w:basedOn w:val="Domylnaczcionkaakapitu"/>
    <w:uiPriority w:val="21"/>
    <w:qFormat/>
    <w:rsid w:val="00FB3A70"/>
    <w:rPr>
      <w:i/>
      <w:iCs/>
      <w:color w:val="2E74B5" w:themeColor="accent1" w:themeShade="BF"/>
    </w:rPr>
  </w:style>
  <w:style w:type="paragraph" w:styleId="Cytatintensywny">
    <w:name w:val="Intense Quote"/>
    <w:basedOn w:val="Normalny"/>
    <w:next w:val="Normalny"/>
    <w:link w:val="CytatintensywnyZnak"/>
    <w:uiPriority w:val="30"/>
    <w:qFormat/>
    <w:rsid w:val="00FB3A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FB3A70"/>
    <w:rPr>
      <w:i/>
      <w:iCs/>
      <w:color w:val="2E74B5" w:themeColor="accent1" w:themeShade="BF"/>
    </w:rPr>
  </w:style>
  <w:style w:type="character" w:styleId="Odwoanieintensywne">
    <w:name w:val="Intense Reference"/>
    <w:basedOn w:val="Domylnaczcionkaakapitu"/>
    <w:uiPriority w:val="32"/>
    <w:qFormat/>
    <w:rsid w:val="00FB3A7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644934">
      <w:bodyDiv w:val="1"/>
      <w:marLeft w:val="0"/>
      <w:marRight w:val="0"/>
      <w:marTop w:val="0"/>
      <w:marBottom w:val="0"/>
      <w:divBdr>
        <w:top w:val="none" w:sz="0" w:space="0" w:color="auto"/>
        <w:left w:val="none" w:sz="0" w:space="0" w:color="auto"/>
        <w:bottom w:val="none" w:sz="0" w:space="0" w:color="auto"/>
        <w:right w:val="none" w:sz="0" w:space="0" w:color="auto"/>
      </w:divBdr>
    </w:div>
    <w:div w:id="152070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571</Words>
  <Characters>3429</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Bukowski</dc:creator>
  <cp:keywords/>
  <dc:description/>
  <cp:lastModifiedBy>Piotr Bukowski</cp:lastModifiedBy>
  <cp:revision>9</cp:revision>
  <cp:lastPrinted>2025-06-05T11:21:00Z</cp:lastPrinted>
  <dcterms:created xsi:type="dcterms:W3CDTF">2025-06-05T11:14:00Z</dcterms:created>
  <dcterms:modified xsi:type="dcterms:W3CDTF">2025-06-06T10:26:00Z</dcterms:modified>
</cp:coreProperties>
</file>